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06597D"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494DDB8A" wp14:editId="4AEC0EBB">
            <wp:simplePos x="0" y="0"/>
            <wp:positionH relativeFrom="column">
              <wp:posOffset>3905250</wp:posOffset>
            </wp:positionH>
            <wp:positionV relativeFrom="paragraph">
              <wp:posOffset>28575</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0700B257" wp14:editId="40C65A3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A1D26">
        <w:rPr>
          <w:rStyle w:val="Style135ptItalique"/>
          <w:rFonts w:asciiTheme="minorHAnsi" w:hAnsiTheme="minorHAnsi"/>
          <w:i w:val="0"/>
          <w:sz w:val="22"/>
          <w:szCs w:val="22"/>
        </w:rPr>
      </w:r>
      <w:r w:rsidR="005A1D2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A1D26">
        <w:rPr>
          <w:rStyle w:val="Style135ptItalique"/>
          <w:rFonts w:asciiTheme="minorHAnsi" w:hAnsiTheme="minorHAnsi"/>
          <w:i w:val="0"/>
          <w:sz w:val="22"/>
          <w:szCs w:val="22"/>
        </w:rPr>
      </w:r>
      <w:r w:rsidR="005A1D2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A1D26">
        <w:rPr>
          <w:rStyle w:val="Style135ptItalique"/>
          <w:rFonts w:asciiTheme="minorHAnsi" w:hAnsiTheme="minorHAnsi"/>
          <w:i w:val="0"/>
          <w:sz w:val="22"/>
          <w:szCs w:val="22"/>
        </w:rPr>
      </w:r>
      <w:r w:rsidR="005A1D2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5A1D26">
        <w:rPr>
          <w:rStyle w:val="Style135pt"/>
          <w:rFonts w:asciiTheme="minorHAnsi" w:hAnsiTheme="minorHAnsi"/>
          <w:sz w:val="22"/>
          <w:szCs w:val="22"/>
        </w:rPr>
      </w:r>
      <w:r w:rsidR="005A1D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00656E" w:rsidRDefault="0000656E" w:rsidP="0006597D">
      <w:pPr>
        <w:pStyle w:val="Textbody"/>
        <w:rPr>
          <w:rFonts w:ascii="Calibri" w:hAnsi="Calibri" w:cs="Calibri"/>
          <w:color w:val="000000"/>
          <w:lang w:val="fr-FR"/>
        </w:rPr>
      </w:pPr>
    </w:p>
    <w:p w:rsidR="0006597D" w:rsidRDefault="0006597D" w:rsidP="0006597D">
      <w:pPr>
        <w:pStyle w:val="Textbody"/>
        <w:rPr>
          <w:color w:val="000000"/>
        </w:rPr>
      </w:pPr>
      <w:r>
        <w:rPr>
          <w:rFonts w:ascii="Calibri" w:hAnsi="Calibri" w:cs="Calibri"/>
          <w:color w:val="000000"/>
          <w:lang w:val="fr-FR"/>
        </w:rPr>
        <w:t xml:space="preserve">La </w:t>
      </w:r>
      <w:r>
        <w:rPr>
          <w:rFonts w:ascii="Calibri" w:hAnsi="Calibri" w:cs="Calibri"/>
          <w:b/>
          <w:bCs/>
          <w:color w:val="000000"/>
          <w:lang w:val="fr-FR"/>
        </w:rPr>
        <w:t>finalité</w:t>
      </w:r>
      <w:r>
        <w:rPr>
          <w:rFonts w:ascii="Calibri" w:hAnsi="Calibri" w:cs="Calibri"/>
          <w:color w:val="000000"/>
          <w:lang w:val="fr-FR"/>
        </w:rPr>
        <w:t xml:space="preserve"> des collectes des données est liée aux missions incombant au Service Urbanisme de la commune de Quaregnon.</w:t>
      </w:r>
      <w:r>
        <w:rPr>
          <w:rFonts w:ascii="Calibri" w:hAnsi="Calibri" w:cs="Calibri"/>
          <w:color w:val="000000"/>
          <w:lang w:val="fr-FR"/>
        </w:rPr>
        <w:br/>
        <w:t>Ces données sont collectées, par exemple, lors de l’introduction d’une demande de certificat d’urbanisme n°1 ou 2, permis d’urbanisme.</w:t>
      </w:r>
    </w:p>
    <w:p w:rsidR="0006597D" w:rsidRDefault="0006597D" w:rsidP="0006597D">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CoDT (Code du Développement du Territoire) et dans le Code de l’environnement.</w:t>
      </w:r>
    </w:p>
    <w:p w:rsidR="0006597D" w:rsidRDefault="0006597D" w:rsidP="0006597D">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06597D" w:rsidRDefault="0006597D" w:rsidP="0006597D">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06597D" w:rsidRDefault="0006597D" w:rsidP="0006597D">
      <w:pPr>
        <w:pStyle w:val="Textbody"/>
        <w:rPr>
          <w:rFonts w:ascii="Calibri" w:hAnsi="Calibri" w:cs="Calibri"/>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06597D" w:rsidRDefault="0006597D" w:rsidP="0006597D">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4D30AA"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5A1D26">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0656E"/>
    <w:rsid w:val="00016D62"/>
    <w:rsid w:val="00031536"/>
    <w:rsid w:val="00034734"/>
    <w:rsid w:val="000605EF"/>
    <w:rsid w:val="0006597D"/>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1D26"/>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28036"/>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paragraph" w:customStyle="1" w:styleId="Textbody">
    <w:name w:val="Text body"/>
    <w:basedOn w:val="Normal"/>
    <w:rsid w:val="0006597D"/>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02993918">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3309</Words>
  <Characters>18201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4</cp:revision>
  <dcterms:created xsi:type="dcterms:W3CDTF">2019-11-20T14:45:00Z</dcterms:created>
  <dcterms:modified xsi:type="dcterms:W3CDTF">2019-11-20T15:18:00Z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